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E889E9" w14:textId="49401977" w:rsidR="00901C28" w:rsidRPr="00025EA3" w:rsidRDefault="004351D5" w:rsidP="00901C28">
      <w:pPr>
        <w:rPr>
          <w:b/>
          <w:bCs/>
        </w:rPr>
      </w:pPr>
      <w:r w:rsidRPr="00025EA3">
        <w:rPr>
          <w:b/>
          <w:bCs/>
        </w:rPr>
        <w:t>Human r</w:t>
      </w:r>
      <w:r w:rsidR="0088265F" w:rsidRPr="00025EA3">
        <w:rPr>
          <w:b/>
          <w:bCs/>
        </w:rPr>
        <w:t>eproduction “on the move”:  n</w:t>
      </w:r>
      <w:r w:rsidR="00901C28" w:rsidRPr="00025EA3">
        <w:rPr>
          <w:b/>
          <w:bCs/>
        </w:rPr>
        <w:t xml:space="preserve">avigating the </w:t>
      </w:r>
      <w:r w:rsidR="00B10BAB" w:rsidRPr="00025EA3">
        <w:rPr>
          <w:b/>
          <w:bCs/>
        </w:rPr>
        <w:t>invisible challenges</w:t>
      </w:r>
      <w:r w:rsidR="0088265F" w:rsidRPr="00025EA3">
        <w:rPr>
          <w:b/>
          <w:bCs/>
        </w:rPr>
        <w:t xml:space="preserve"> of </w:t>
      </w:r>
      <w:r w:rsidR="00FE29C2" w:rsidRPr="00025EA3">
        <w:rPr>
          <w:b/>
          <w:bCs/>
        </w:rPr>
        <w:t xml:space="preserve">reproductive </w:t>
      </w:r>
      <w:r w:rsidR="003F0022" w:rsidRPr="00025EA3">
        <w:rPr>
          <w:b/>
          <w:bCs/>
        </w:rPr>
        <w:t>decisions</w:t>
      </w:r>
      <w:r w:rsidR="00B10BAB" w:rsidRPr="00025EA3">
        <w:rPr>
          <w:b/>
          <w:bCs/>
        </w:rPr>
        <w:t xml:space="preserve"> </w:t>
      </w:r>
      <w:r w:rsidR="0088265F" w:rsidRPr="00025EA3">
        <w:rPr>
          <w:b/>
          <w:bCs/>
        </w:rPr>
        <w:t xml:space="preserve">in borderland </w:t>
      </w:r>
      <w:r w:rsidR="00877BF8" w:rsidRPr="00025EA3">
        <w:rPr>
          <w:b/>
          <w:bCs/>
        </w:rPr>
        <w:t>cultures</w:t>
      </w:r>
      <w:r w:rsidR="009E1E2A" w:rsidRPr="00025EA3">
        <w:rPr>
          <w:rStyle w:val="FootnoteReference"/>
          <w:b/>
          <w:bCs/>
        </w:rPr>
        <w:footnoteReference w:id="1"/>
      </w:r>
    </w:p>
    <w:p w14:paraId="355FA196" w14:textId="77777777" w:rsidR="00C53ED8" w:rsidRPr="00025EA3" w:rsidRDefault="00C53ED8" w:rsidP="00901C28">
      <w:pPr>
        <w:rPr>
          <w:b/>
          <w:bCs/>
        </w:rPr>
      </w:pPr>
    </w:p>
    <w:p w14:paraId="0FC378B1" w14:textId="77777777" w:rsidR="00C53ED8" w:rsidRPr="00025EA3" w:rsidRDefault="00C53ED8" w:rsidP="00901C28"/>
    <w:p w14:paraId="5756702B" w14:textId="47D34012" w:rsidR="00C53ED8" w:rsidRPr="00025EA3" w:rsidRDefault="00C53ED8" w:rsidP="00901C28">
      <w:r w:rsidRPr="00025EA3">
        <w:t>Hugo Gaggiotti. University of the West of England</w:t>
      </w:r>
    </w:p>
    <w:p w14:paraId="0890C490" w14:textId="65E29FA8" w:rsidR="00C53ED8" w:rsidRPr="00025EA3" w:rsidRDefault="00C53ED8" w:rsidP="00901C28">
      <w:r w:rsidRPr="00025EA3">
        <w:t>Bruna Álvarez Mora. Autonomous University of Barcelona</w:t>
      </w:r>
    </w:p>
    <w:p w14:paraId="651B401A" w14:textId="77777777" w:rsidR="00877BF8" w:rsidRPr="00025EA3" w:rsidRDefault="00877BF8" w:rsidP="00901C28">
      <w:pPr>
        <w:rPr>
          <w:b/>
          <w:bCs/>
        </w:rPr>
      </w:pPr>
    </w:p>
    <w:p w14:paraId="0292B53D" w14:textId="77777777" w:rsidR="00C53ED8" w:rsidRPr="00025EA3" w:rsidRDefault="00C53ED8" w:rsidP="00901C28"/>
    <w:p w14:paraId="2AA1D591" w14:textId="4279A420" w:rsidR="005C63DF" w:rsidRPr="00025EA3" w:rsidRDefault="00877BF8" w:rsidP="00901C28">
      <w:r w:rsidRPr="00025EA3">
        <w:t xml:space="preserve">The dimensions of the borderland cultures encompass a wide array of factors that influence </w:t>
      </w:r>
      <w:r w:rsidR="00B10BAB" w:rsidRPr="00025EA3">
        <w:t xml:space="preserve">any aspect of </w:t>
      </w:r>
      <w:r w:rsidR="00F31D48" w:rsidRPr="00025EA3">
        <w:t>organis</w:t>
      </w:r>
      <w:r w:rsidRPr="00025EA3">
        <w:t xml:space="preserve">ational </w:t>
      </w:r>
      <w:r w:rsidR="00025EA3" w:rsidRPr="00025EA3">
        <w:t>behaviour</w:t>
      </w:r>
      <w:r w:rsidRPr="00025EA3">
        <w:t xml:space="preserve"> and soci</w:t>
      </w:r>
      <w:r w:rsidR="005C63DF" w:rsidRPr="00025EA3">
        <w:t>o-cultural</w:t>
      </w:r>
      <w:r w:rsidRPr="00025EA3">
        <w:t xml:space="preserve"> </w:t>
      </w:r>
      <w:r w:rsidR="005C63DF" w:rsidRPr="00025EA3">
        <w:t>practices</w:t>
      </w:r>
      <w:r w:rsidRPr="00025EA3">
        <w:t xml:space="preserve">. Studies such as Jun et al. (2005) and Baeza et al. (2017) delve into the impact of </w:t>
      </w:r>
      <w:r w:rsidR="005C63DF" w:rsidRPr="00025EA3">
        <w:t xml:space="preserve">what has been called “nomadic </w:t>
      </w:r>
      <w:r w:rsidR="00D149A3" w:rsidRPr="00025EA3">
        <w:t xml:space="preserve">social </w:t>
      </w:r>
      <w:r w:rsidR="00F31D48" w:rsidRPr="00025EA3">
        <w:t>organis</w:t>
      </w:r>
      <w:r w:rsidR="005C63DF" w:rsidRPr="00025EA3">
        <w:t>ing”</w:t>
      </w:r>
      <w:r w:rsidR="000E678C" w:rsidRPr="00025EA3">
        <w:t xml:space="preserve"> (Lucas, 2014)</w:t>
      </w:r>
      <w:r w:rsidRPr="00025EA3">
        <w:t xml:space="preserve">, shedding light on how </w:t>
      </w:r>
      <w:r w:rsidR="005C63DF" w:rsidRPr="00025EA3">
        <w:t xml:space="preserve">permeable and malleable </w:t>
      </w:r>
      <w:r w:rsidRPr="00025EA3">
        <w:t xml:space="preserve">cultural </w:t>
      </w:r>
      <w:r w:rsidR="005C63DF" w:rsidRPr="00025EA3">
        <w:t>practices define the social</w:t>
      </w:r>
      <w:r w:rsidR="00D149A3" w:rsidRPr="00025EA3">
        <w:t xml:space="preserve"> in such borderland cultures</w:t>
      </w:r>
      <w:r w:rsidR="005C63DF" w:rsidRPr="00025EA3">
        <w:t>.</w:t>
      </w:r>
    </w:p>
    <w:p w14:paraId="7510F09C" w14:textId="77777777" w:rsidR="005C63DF" w:rsidRPr="00025EA3" w:rsidRDefault="005C63DF" w:rsidP="00901C28"/>
    <w:p w14:paraId="23BC433A" w14:textId="741620B9" w:rsidR="00D149A3" w:rsidRPr="00025EA3" w:rsidRDefault="005C63DF" w:rsidP="005C63DF">
      <w:r w:rsidRPr="00025EA3">
        <w:t xml:space="preserve">Nomadic </w:t>
      </w:r>
      <w:r w:rsidR="00F31D48" w:rsidRPr="00025EA3">
        <w:t>organis</w:t>
      </w:r>
      <w:r w:rsidRPr="00025EA3">
        <w:t xml:space="preserve">ing is a concept that challenges traditional hierarchical models </w:t>
      </w:r>
      <w:r w:rsidR="00D149A3" w:rsidRPr="00025EA3">
        <w:t xml:space="preserve">of organising </w:t>
      </w:r>
      <w:r w:rsidRPr="00025EA3">
        <w:t>by emphasizing decentralization</w:t>
      </w:r>
      <w:r w:rsidR="00D149A3" w:rsidRPr="00025EA3">
        <w:t xml:space="preserve">, </w:t>
      </w:r>
      <w:r w:rsidRPr="00025EA3">
        <w:t>autonomy</w:t>
      </w:r>
      <w:r w:rsidR="00D149A3" w:rsidRPr="00025EA3">
        <w:t xml:space="preserve"> and adaptability</w:t>
      </w:r>
      <w:r w:rsidRPr="00025EA3">
        <w:t xml:space="preserve">. </w:t>
      </w:r>
      <w:r w:rsidR="00D149A3" w:rsidRPr="00025EA3">
        <w:t xml:space="preserve">For example, people who are always “on the move” </w:t>
      </w:r>
      <w:r w:rsidRPr="00025EA3">
        <w:t xml:space="preserve">often rely on networks and </w:t>
      </w:r>
      <w:r w:rsidR="00D149A3" w:rsidRPr="00025EA3">
        <w:t xml:space="preserve">are more open to </w:t>
      </w:r>
      <w:r w:rsidRPr="00025EA3">
        <w:t xml:space="preserve">relationships </w:t>
      </w:r>
      <w:r w:rsidR="00D149A3" w:rsidRPr="00025EA3">
        <w:t xml:space="preserve">when </w:t>
      </w:r>
      <w:r w:rsidRPr="00025EA3">
        <w:t>navigat</w:t>
      </w:r>
      <w:r w:rsidR="00D149A3" w:rsidRPr="00025EA3">
        <w:t>ing</w:t>
      </w:r>
      <w:r w:rsidRPr="00025EA3">
        <w:t xml:space="preserve"> different contexts. In </w:t>
      </w:r>
      <w:r w:rsidR="00F31D48" w:rsidRPr="00025EA3">
        <w:t>organis</w:t>
      </w:r>
      <w:r w:rsidRPr="00025EA3">
        <w:t xml:space="preserve">ational studies, researchers have explored how businesses can adopt more agile structures akin to nomadic </w:t>
      </w:r>
      <w:r w:rsidR="00F31D48" w:rsidRPr="00025EA3">
        <w:t>organis</w:t>
      </w:r>
      <w:r w:rsidRPr="00025EA3">
        <w:t>ing to respond effectively to changes (Otamış, 2016).</w:t>
      </w:r>
    </w:p>
    <w:p w14:paraId="0AE63C89" w14:textId="77777777" w:rsidR="005C63DF" w:rsidRPr="00025EA3" w:rsidRDefault="005C63DF" w:rsidP="005C63DF"/>
    <w:p w14:paraId="089C60FF" w14:textId="5F37847F" w:rsidR="001932E4" w:rsidRPr="00025EA3" w:rsidRDefault="00877BF8" w:rsidP="00901C28">
      <w:r w:rsidRPr="00025EA3">
        <w:t xml:space="preserve">Borderland cultures </w:t>
      </w:r>
      <w:r w:rsidR="005C63DF" w:rsidRPr="00025EA3">
        <w:t xml:space="preserve">epitomise the archetypical manifestation of nomadic social </w:t>
      </w:r>
      <w:r w:rsidR="00F31D48" w:rsidRPr="00025EA3">
        <w:t>organis</w:t>
      </w:r>
      <w:r w:rsidR="005C63DF" w:rsidRPr="00025EA3">
        <w:t>ing</w:t>
      </w:r>
      <w:r w:rsidR="00233A30" w:rsidRPr="00025EA3">
        <w:t xml:space="preserve">. As Anwar Shaheen </w:t>
      </w:r>
      <w:r w:rsidR="007703A3" w:rsidRPr="00025EA3">
        <w:t>(2011) referred</w:t>
      </w:r>
      <w:r w:rsidR="00233A30" w:rsidRPr="00025EA3">
        <w:t xml:space="preserve"> for the case of Pakistan’s borderland’s nomadic population, “living on the margins” implies dealing with everyday crossings, transgressions, trespassing, transitions and transformations</w:t>
      </w:r>
      <w:r w:rsidR="001932E4" w:rsidRPr="00025EA3">
        <w:t>.</w:t>
      </w:r>
    </w:p>
    <w:p w14:paraId="551BB38B" w14:textId="77777777" w:rsidR="001932E4" w:rsidRPr="00025EA3" w:rsidRDefault="001932E4" w:rsidP="00901C28"/>
    <w:p w14:paraId="2F093B37" w14:textId="68EF0F2B" w:rsidR="0068020D" w:rsidRPr="00025EA3" w:rsidRDefault="001932E4" w:rsidP="0068020D">
      <w:r w:rsidRPr="00025EA3">
        <w:t xml:space="preserve">Indeed, borderlands cultural practices affect all aspects of life, including those on family conceptions, kindship and reproduction. Human reproduction in the borderlands is </w:t>
      </w:r>
      <w:r w:rsidR="00777E47" w:rsidRPr="00025EA3">
        <w:t xml:space="preserve">a </w:t>
      </w:r>
      <w:r w:rsidRPr="00025EA3">
        <w:t>distinctive</w:t>
      </w:r>
      <w:r w:rsidR="00777E47" w:rsidRPr="00025EA3">
        <w:t xml:space="preserve"> practice</w:t>
      </w:r>
      <w:r w:rsidRPr="00025EA3">
        <w:t>. Symbolic and material interactions</w:t>
      </w:r>
      <w:r w:rsidR="00FE29C2" w:rsidRPr="00025EA3">
        <w:t xml:space="preserve"> and sensemaking</w:t>
      </w:r>
      <w:r w:rsidRPr="00025EA3">
        <w:t xml:space="preserve"> are always “on the move” and transitions and transformation are part of a malleable ethos, affecting reproductive decisions, including the economical, the technological, the emotional</w:t>
      </w:r>
      <w:r w:rsidR="00777E47" w:rsidRPr="00025EA3">
        <w:t>,</w:t>
      </w:r>
      <w:r w:rsidRPr="00025EA3">
        <w:t xml:space="preserve"> the intimate</w:t>
      </w:r>
      <w:r w:rsidR="00777E47" w:rsidRPr="00025EA3">
        <w:t xml:space="preserve"> and even</w:t>
      </w:r>
      <w:r w:rsidRPr="00025EA3">
        <w:t xml:space="preserve"> the </w:t>
      </w:r>
      <w:r w:rsidR="00777E47" w:rsidRPr="00025EA3">
        <w:t>practice of what has been called “techno-human reproduction”</w:t>
      </w:r>
      <w:r w:rsidRPr="00025EA3">
        <w:t>.</w:t>
      </w:r>
      <w:r w:rsidR="00777E47" w:rsidRPr="00025EA3">
        <w:t xml:space="preserve"> </w:t>
      </w:r>
      <w:r w:rsidR="00614422" w:rsidRPr="00025EA3">
        <w:t>The use of assisted reproductive technologies (ARTs) has led to significant cultural changes and redefinitions of reproducti</w:t>
      </w:r>
      <w:r w:rsidR="003D2903" w:rsidRPr="00025EA3">
        <w:t>ve</w:t>
      </w:r>
      <w:r w:rsidR="00614422" w:rsidRPr="00025EA3">
        <w:t xml:space="preserve"> practices (Inhorn &amp; Birenbaum</w:t>
      </w:r>
      <w:r w:rsidR="00614422" w:rsidRPr="00025EA3">
        <w:rPr>
          <w:rFonts w:ascii="Cambria Math" w:hAnsi="Cambria Math" w:cs="Cambria Math"/>
        </w:rPr>
        <w:t>‐</w:t>
      </w:r>
      <w:r w:rsidR="00614422" w:rsidRPr="00025EA3">
        <w:t xml:space="preserve">Carmeli, 2008). </w:t>
      </w:r>
      <w:r w:rsidR="003D2903" w:rsidRPr="00025EA3">
        <w:t xml:space="preserve">The commercialization of in vitro fertilization (IVF) </w:t>
      </w:r>
      <w:r w:rsidR="00025EA3" w:rsidRPr="00025EA3">
        <w:t>has</w:t>
      </w:r>
      <w:r w:rsidR="003D2903" w:rsidRPr="00025EA3">
        <w:t xml:space="preserve"> not only transformed reproductive medicine (Wiel, 2019; Merleau-Ponty et al., 2018) but the meaning of human reproduction. The availability of ARTs across the borderlands and their uses are constantly in definition and redefinition, depending on the legal, economic and cultural constructions. E</w:t>
      </w:r>
      <w:r w:rsidR="00FE29C2" w:rsidRPr="00025EA3">
        <w:t xml:space="preserve">qually, the practice of </w:t>
      </w:r>
      <w:r w:rsidR="00F31D48" w:rsidRPr="00025EA3">
        <w:t>drug-based</w:t>
      </w:r>
      <w:r w:rsidR="00FE29C2" w:rsidRPr="00025EA3">
        <w:t xml:space="preserve"> pregnancy termination</w:t>
      </w:r>
      <w:r w:rsidR="003D2903" w:rsidRPr="00025EA3">
        <w:t xml:space="preserve"> is culturally manifested in the borderlands depending on a permanent sensegiving and sensemaking construction of economic, moral and religious argumentation; misoprostol, antiprogestins and prostaglandins became more than options to decide about pregnancy, but rhetorical devices to justify displacements, treatments and make economic decisions to support the move across the borderlands. </w:t>
      </w:r>
      <w:r w:rsidR="0068020D" w:rsidRPr="00025EA3">
        <w:t xml:space="preserve"> </w:t>
      </w:r>
      <w:r w:rsidR="0068020D" w:rsidRPr="00025EA3">
        <w:lastRenderedPageBreak/>
        <w:t xml:space="preserve">One of the primary complexities of seeking IVF treatment and abortion abroad revolves around navigating the legal and regulatory frameworks. The absence of uniform international standards </w:t>
      </w:r>
      <w:r w:rsidR="00721F42" w:rsidRPr="00025EA3">
        <w:t>is</w:t>
      </w:r>
      <w:r w:rsidR="0068020D" w:rsidRPr="00025EA3">
        <w:t xml:space="preserve"> expressly manifested in the borderlands, where a proliferation of clinics, hospitals and health consultancies became spaces where to find advise on how to navigate the regulations regarding surrogacy, egg donation embryo transfer and pregnancy interruption, that vary significantly from one country to another, and in the case of US, for example, even from one state to another.</w:t>
      </w:r>
    </w:p>
    <w:p w14:paraId="707AF9E3" w14:textId="103168DA" w:rsidR="00614422" w:rsidRPr="00025EA3" w:rsidRDefault="00614422" w:rsidP="00777E47"/>
    <w:p w14:paraId="3D03D3AD" w14:textId="11528CCA" w:rsidR="00614422" w:rsidRPr="00025EA3" w:rsidRDefault="00777E47" w:rsidP="00777E47">
      <w:r w:rsidRPr="00025EA3">
        <w:t xml:space="preserve">As the techno-human reproduction extends beyond the biological realm and encompass social, ethical, and environmental dimensions, </w:t>
      </w:r>
      <w:r w:rsidR="00614422" w:rsidRPr="00025EA3">
        <w:t>culture permeates any of its manifestations</w:t>
      </w:r>
      <w:r w:rsidR="00AA64F8" w:rsidRPr="00025EA3">
        <w:t xml:space="preserve"> and sensemaking</w:t>
      </w:r>
      <w:r w:rsidRPr="00025EA3">
        <w:t>.</w:t>
      </w:r>
      <w:r w:rsidR="00614422" w:rsidRPr="00025EA3">
        <w:t xml:space="preserve"> Research has shown how, for example, the concept of “motherhood” changes in some societies because of the gradual alteration of the meaning of human reproduction</w:t>
      </w:r>
      <w:r w:rsidR="00AA64F8" w:rsidRPr="00025EA3">
        <w:t xml:space="preserve"> and what has been called “techno-maternity</w:t>
      </w:r>
      <w:r w:rsidR="002F4AE8" w:rsidRPr="00025EA3">
        <w:t>” practices</w:t>
      </w:r>
      <w:r w:rsidR="00614422" w:rsidRPr="00025EA3">
        <w:t xml:space="preserve"> (</w:t>
      </w:r>
      <w:r w:rsidR="00AB14A3" w:rsidRPr="00025EA3">
        <w:t>Suksom and Sangkhamanee</w:t>
      </w:r>
      <w:r w:rsidRPr="00025EA3">
        <w:t>, 2022</w:t>
      </w:r>
      <w:r w:rsidR="00614422" w:rsidRPr="00025EA3">
        <w:t xml:space="preserve">; </w:t>
      </w:r>
      <w:r w:rsidRPr="00025EA3">
        <w:t>Wiel, 2019</w:t>
      </w:r>
      <w:r w:rsidR="002F4AE8" w:rsidRPr="00025EA3">
        <w:t>; Alvarez, 2013</w:t>
      </w:r>
      <w:r w:rsidRPr="00025EA3">
        <w:t>).</w:t>
      </w:r>
      <w:r w:rsidR="00AA64F8" w:rsidRPr="00025EA3">
        <w:t xml:space="preserve"> </w:t>
      </w:r>
      <w:r w:rsidR="002F4AE8" w:rsidRPr="00025EA3">
        <w:t>Díaz-Carrión, Vizcaino-Suárez and Gaggiotti (2020) h</w:t>
      </w:r>
      <w:r w:rsidR="00AA64F8" w:rsidRPr="00025EA3">
        <w:t>ave re</w:t>
      </w:r>
      <w:r w:rsidR="002F4AE8" w:rsidRPr="00025EA3">
        <w:t>ported</w:t>
      </w:r>
      <w:r w:rsidR="00AA64F8" w:rsidRPr="00025EA3">
        <w:t xml:space="preserve"> that even the meaning of “pregnancy” is altered in Mexico because of </w:t>
      </w:r>
      <w:r w:rsidR="002F4AE8" w:rsidRPr="00025EA3">
        <w:t xml:space="preserve">the </w:t>
      </w:r>
      <w:r w:rsidR="00AA64F8" w:rsidRPr="00025EA3">
        <w:t xml:space="preserve">semantic transformation of the public understandings of “motherhood”. </w:t>
      </w:r>
    </w:p>
    <w:p w14:paraId="5C9025F7" w14:textId="77777777" w:rsidR="0068020D" w:rsidRPr="00025EA3" w:rsidRDefault="0068020D" w:rsidP="00777E47"/>
    <w:p w14:paraId="5424785E" w14:textId="7C667B15" w:rsidR="0068020D" w:rsidRPr="00025EA3" w:rsidRDefault="0068020D" w:rsidP="0068020D">
      <w:r w:rsidRPr="00025EA3">
        <w:t xml:space="preserve">Living “on the move” in the borderlands, however, doesn’t come without a cost. Research by Wright (2001) and Walker (2005) into gender issues and femicide, for example, have underlined the distinctive discursive construction of gender and difference in borderland organisational practices, underscoring the complex </w:t>
      </w:r>
      <w:r w:rsidR="009E1E2A" w:rsidRPr="00025EA3">
        <w:t xml:space="preserve">and invisible </w:t>
      </w:r>
      <w:r w:rsidRPr="00025EA3">
        <w:t>interplay between cultural representations, violence against women, and social imaginaries in border regions like Ciudad Juárez-El Paso and Tijuana-San Diego. Vulnerability is emphasized in settings of nomadic and borderland cultures and is manifested in every social and organisational practice.</w:t>
      </w:r>
      <w:r w:rsidR="00721F42" w:rsidRPr="00025EA3">
        <w:t xml:space="preserve"> To alternate “to be abroad” and “to be at home” when been immersed in the process of deciding about your own reproduction, creates an invisible transitional dimension of liminality and liminoidity (Gaggiotti</w:t>
      </w:r>
      <w:r w:rsidR="000F7905" w:rsidRPr="00025EA3">
        <w:t xml:space="preserve"> et. al</w:t>
      </w:r>
      <w:r w:rsidR="00721F42" w:rsidRPr="00025EA3">
        <w:t>, 2018) where meanings and understandings of what is human are produced.</w:t>
      </w:r>
    </w:p>
    <w:p w14:paraId="2CD10100" w14:textId="77777777" w:rsidR="00614422" w:rsidRPr="00025EA3" w:rsidRDefault="00614422" w:rsidP="00901C28"/>
    <w:p w14:paraId="22D923AF" w14:textId="12976355" w:rsidR="009E1E2A" w:rsidRPr="00025EA3" w:rsidRDefault="006971C0" w:rsidP="00901C28">
      <w:r w:rsidRPr="00025EA3">
        <w:t>Indeed, w</w:t>
      </w:r>
      <w:r w:rsidR="00901C28" w:rsidRPr="00025EA3">
        <w:t xml:space="preserve">hen individuals opt for reproductive and IVF treatments abroad, they often face a myriad of </w:t>
      </w:r>
      <w:r w:rsidR="009E1E2A" w:rsidRPr="00025EA3">
        <w:t xml:space="preserve">invisible </w:t>
      </w:r>
      <w:r w:rsidR="00901C28" w:rsidRPr="00025EA3">
        <w:t>stressors and challenges. Couples undergoing In Vitro Fertilization (IVF) treatments experience significant stress due to the painful nature of the treatment and the fear of treatment failure (Ying et al., 2015). Research indicates that psychosocial factors such as ineffective coping strategies, anxiety, and depression are linked to lower pregnancy rates following IVF procedures (Eugster &amp; Vingerhoets, 1999).</w:t>
      </w:r>
      <w:r w:rsidR="005E4346" w:rsidRPr="00025EA3">
        <w:t xml:space="preserve"> </w:t>
      </w:r>
      <w:r w:rsidR="00901C28" w:rsidRPr="00025EA3">
        <w:t>The stress and anxiety experienced during IVF treatments are not limited to one gender. Women undergoing infertility treatments have been found to experience stress, anxiety, and depression related to their reproductive trajectories (Kamboj et al., 2023). Additionally, men involved in IVF treatments face their own set of challenges, with emotional and physical support from their partners playing a crucial role in helping them cope with the stress of the treatment (Zaake et al., 2019).</w:t>
      </w:r>
    </w:p>
    <w:p w14:paraId="2C0A5AA5" w14:textId="77777777" w:rsidR="009E1E2A" w:rsidRPr="00025EA3" w:rsidRDefault="009E1E2A" w:rsidP="00901C28"/>
    <w:p w14:paraId="62CD13FA" w14:textId="611EBFDE" w:rsidR="00901C28" w:rsidRPr="00025EA3" w:rsidRDefault="00901C28" w:rsidP="00901C28">
      <w:r w:rsidRPr="00025EA3">
        <w:t xml:space="preserve">The global increase in subfertility diagnoses and treatments, particularly the focus on profit-driven IVF treatments, raises significant societal and economic questions for both patients and stakeholders (Bahadur et al., 2022). Furthermore, the complexity of </w:t>
      </w:r>
      <w:r w:rsidRPr="00025EA3">
        <w:lastRenderedPageBreak/>
        <w:t xml:space="preserve">measuring success in IVF treatments underscores the multidisciplinary nature of addressing the challenges and outcomes associated with these procedures (Rienzi et al., 2021).  Complications related to IVF treatments include multiple births, ectopic pregnancy, maternal </w:t>
      </w:r>
      <w:r w:rsidR="00025EA3" w:rsidRPr="00025EA3">
        <w:t>haemorrhage</w:t>
      </w:r>
      <w:r w:rsidRPr="00025EA3">
        <w:t>, gestational diabetes, hypertensive disorders, and various other risks that contribute to the overall stress and anxiety experienced by individuals undergoing these treatments (Vuniqi-Krasniqi et al., 2018).  In conclusion, individuals seeking reproductive and IVF treatments abroad are confronted with a range of stressors, anxieties, and challenges that encompass both the physical and psychological aspects of the treatment process. Understanding and addressing these multifaceted issues are essential in providing comprehensive support to individuals undergoing such treatments.</w:t>
      </w:r>
    </w:p>
    <w:p w14:paraId="70843C61" w14:textId="77777777" w:rsidR="00901C28" w:rsidRPr="00025EA3" w:rsidRDefault="00901C28" w:rsidP="00901C28"/>
    <w:p w14:paraId="07C21A0E" w14:textId="6E6DF003" w:rsidR="00896BA9" w:rsidRPr="00025EA3" w:rsidRDefault="00901C28" w:rsidP="00896BA9">
      <w:r w:rsidRPr="00025EA3">
        <w:t xml:space="preserve">In this paper we discuss our analysis of how the multifaceted practice of mobile procreation is embedded in the cultural </w:t>
      </w:r>
      <w:r w:rsidR="00F31D48" w:rsidRPr="00025EA3">
        <w:t>organis</w:t>
      </w:r>
      <w:r w:rsidRPr="00025EA3">
        <w:t xml:space="preserve">ing mobility of the liminal </w:t>
      </w:r>
      <w:r w:rsidR="009E1E2A" w:rsidRPr="00025EA3">
        <w:t xml:space="preserve">space of the </w:t>
      </w:r>
      <w:r w:rsidRPr="00025EA3">
        <w:t xml:space="preserve">Mexican-US borderlands. </w:t>
      </w:r>
      <w:r w:rsidR="00FE29C2" w:rsidRPr="00025EA3">
        <w:t xml:space="preserve">The research was conducted as part of the REPROMOB project. REPROMOB is a multi-disciplinary, multi-sited and collaborative research project </w:t>
      </w:r>
      <w:r w:rsidR="00F31D48" w:rsidRPr="00025EA3">
        <w:t>organis</w:t>
      </w:r>
      <w:r w:rsidR="00FE29C2" w:rsidRPr="00025EA3">
        <w:t>ed by two Universities of Catalonia, Spain: the Autonomous University of Barcelona (UAB) and the University of Barcelona (UB), in which researchers from different universities in Spain also participate. Europe and Latin America. Its objective is to investigate different forms of reproductive mobility: flows of people, substances, knowledge, practices, subjectivities, capitals, networks of relationships and connections that assisted reproduction and the search for abortion, as well as adoption, generate worldwide. Our work</w:t>
      </w:r>
      <w:r w:rsidRPr="00025EA3">
        <w:t xml:space="preserve"> </w:t>
      </w:r>
      <w:r w:rsidR="00FE29C2" w:rsidRPr="00025EA3">
        <w:t xml:space="preserve">for this paper </w:t>
      </w:r>
      <w:r w:rsidRPr="00025EA3">
        <w:t xml:space="preserve">is based on a longitudinal intermittent multidisciplinary fieldwork produced between 2015 and 2023 in Ciudad Juarez (Mexico)-El Paso (US) borderland </w:t>
      </w:r>
      <w:r w:rsidR="00FE29C2" w:rsidRPr="00025EA3">
        <w:t>analysing</w:t>
      </w:r>
      <w:r w:rsidRPr="00025EA3">
        <w:t xml:space="preserve"> three types of (un)reproductive mobilities: abortion, birth and IVF.</w:t>
      </w:r>
      <w:r w:rsidR="00896BA9" w:rsidRPr="00025EA3">
        <w:t xml:space="preserve"> The paper report on the research conducted on the multifaceted</w:t>
      </w:r>
      <w:r w:rsidR="00FE29C2" w:rsidRPr="00025EA3">
        <w:t>, and mostly invisible</w:t>
      </w:r>
      <w:r w:rsidR="00896BA9" w:rsidRPr="00025EA3">
        <w:t xml:space="preserve"> nature of reproductive mobilities and the intricacies involved in seeking IVF treatment in the Mexican-US borderlands. </w:t>
      </w:r>
    </w:p>
    <w:p w14:paraId="18522344" w14:textId="3C6E417C" w:rsidR="00901C28" w:rsidRPr="00025EA3" w:rsidRDefault="00901C28" w:rsidP="00901C28"/>
    <w:p w14:paraId="40E67127" w14:textId="77777777" w:rsidR="00901C28" w:rsidRPr="00025EA3" w:rsidRDefault="00901C28" w:rsidP="00901C28"/>
    <w:p w14:paraId="1C0D37EC" w14:textId="514D26F0" w:rsidR="00901C28" w:rsidRPr="00025EA3" w:rsidRDefault="00901C28" w:rsidP="00901C28">
      <w:pPr>
        <w:rPr>
          <w:b/>
          <w:bCs/>
        </w:rPr>
      </w:pPr>
      <w:r w:rsidRPr="00025EA3">
        <w:rPr>
          <w:b/>
          <w:bCs/>
        </w:rPr>
        <w:t>References</w:t>
      </w:r>
    </w:p>
    <w:p w14:paraId="36169B7F" w14:textId="77777777" w:rsidR="00F31D48" w:rsidRPr="00025EA3" w:rsidRDefault="00F31D48" w:rsidP="00901C28">
      <w:pPr>
        <w:rPr>
          <w:b/>
          <w:bCs/>
        </w:rPr>
      </w:pPr>
    </w:p>
    <w:p w14:paraId="4B6A193F" w14:textId="77777777" w:rsidR="00C53ED8" w:rsidRPr="00025EA3" w:rsidRDefault="00C53ED8" w:rsidP="00877BF8">
      <w:r w:rsidRPr="00025EA3">
        <w:t xml:space="preserve">Álvarez, B. (2013). La maternidad: entre la decisión individual y/o la obligatoriedad social. In López Matheu, C., Bestard J. &amp; Marre, D. (2013), </w:t>
      </w:r>
      <w:r w:rsidRPr="00025EA3">
        <w:rPr>
          <w:i/>
          <w:iCs/>
        </w:rPr>
        <w:t>Maternidades, procreación y crianza en transformación</w:t>
      </w:r>
      <w:r w:rsidRPr="00025EA3">
        <w:t>. Barcelona: Editorial Bellaterra.</w:t>
      </w:r>
    </w:p>
    <w:p w14:paraId="57004C04" w14:textId="77777777" w:rsidR="00C53ED8" w:rsidRPr="00025EA3" w:rsidRDefault="00C53ED8" w:rsidP="00877BF8"/>
    <w:p w14:paraId="40576B91" w14:textId="77777777" w:rsidR="00C53ED8" w:rsidRPr="00025EA3" w:rsidRDefault="00C53ED8" w:rsidP="00877BF8">
      <w:r w:rsidRPr="00025EA3">
        <w:t xml:space="preserve">Baeza, M., Wang, Y., &amp; Wang, V. (2017). Analyzing organizational citizenship behavior in mexico: a collectivist perspective. </w:t>
      </w:r>
      <w:r w:rsidRPr="00025EA3">
        <w:rPr>
          <w:i/>
          <w:iCs/>
        </w:rPr>
        <w:t>Global Business and Organizational Excellence</w:t>
      </w:r>
      <w:r w:rsidRPr="00025EA3">
        <w:t>, 37(1), 16-27.</w:t>
      </w:r>
    </w:p>
    <w:p w14:paraId="2D3B95B1" w14:textId="77777777" w:rsidR="00C53ED8" w:rsidRPr="00025EA3" w:rsidRDefault="00C53ED8" w:rsidP="00877BF8"/>
    <w:p w14:paraId="74C65FCE" w14:textId="77777777" w:rsidR="00C53ED8" w:rsidRPr="00025EA3" w:rsidRDefault="00C53ED8" w:rsidP="00901C28">
      <w:r w:rsidRPr="00025EA3">
        <w:t>Bahadur, G., Homburg, R., Muneer, A., Racich, P., Jayaprakasan, K., Acharya, S. &amp;  Jauniaux, E. (2022). Global inequality in sub-fertility treatment needs safer, cost effective, evidence-based and economically viable choices for patients and stakeholders. JBRA Assist Reprod. 17: 26(1):1-2.</w:t>
      </w:r>
    </w:p>
    <w:p w14:paraId="78194568" w14:textId="77777777" w:rsidR="00C53ED8" w:rsidRPr="00025EA3" w:rsidRDefault="00C53ED8" w:rsidP="00901C28"/>
    <w:p w14:paraId="795662A2" w14:textId="0432A987" w:rsidR="00C53ED8" w:rsidRPr="00025EA3" w:rsidRDefault="00C53ED8" w:rsidP="00877BF8">
      <w:r w:rsidRPr="00025EA3">
        <w:lastRenderedPageBreak/>
        <w:t>Díaz-Carrión, I.A., Vizcaino-Suárez, P. &amp; Gaggiotti, H. (2020) Change within the change: pregnancy, liminality and adventure tourism in Mexico, </w:t>
      </w:r>
      <w:r w:rsidRPr="00025EA3">
        <w:rPr>
          <w:i/>
          <w:iCs/>
        </w:rPr>
        <w:t>Tourism Geographies</w:t>
      </w:r>
      <w:r w:rsidRPr="00025EA3">
        <w:t>, 22:2, 370-391.</w:t>
      </w:r>
    </w:p>
    <w:p w14:paraId="23E85C20" w14:textId="77777777" w:rsidR="00C53ED8" w:rsidRPr="00025EA3" w:rsidRDefault="00C53ED8" w:rsidP="00877BF8"/>
    <w:p w14:paraId="0212EA59" w14:textId="77777777" w:rsidR="00C53ED8" w:rsidRPr="00025EA3" w:rsidRDefault="00C53ED8" w:rsidP="00901C28">
      <w:r w:rsidRPr="00025EA3">
        <w:t xml:space="preserve">Eugster, A. and Vingerhoets, A. (1999). Psychological aspects of in vitro fertilization: a review, </w:t>
      </w:r>
      <w:r w:rsidRPr="00025EA3">
        <w:rPr>
          <w:i/>
          <w:iCs/>
        </w:rPr>
        <w:t>Social Science &amp; Medicine</w:t>
      </w:r>
      <w:r w:rsidRPr="00025EA3">
        <w:t>, 48(5), 575-589.</w:t>
      </w:r>
    </w:p>
    <w:p w14:paraId="28DC96B1" w14:textId="77777777" w:rsidR="00721F42" w:rsidRPr="00025EA3" w:rsidRDefault="00721F42" w:rsidP="00901C28"/>
    <w:p w14:paraId="04F7CD0F" w14:textId="30A9E148" w:rsidR="00647A93" w:rsidRPr="00025EA3" w:rsidRDefault="00721F42" w:rsidP="00647A93">
      <w:r w:rsidRPr="00025EA3">
        <w:t>Gaggiotti, H</w:t>
      </w:r>
      <w:r w:rsidR="00647A93" w:rsidRPr="00025EA3">
        <w:t>.</w:t>
      </w:r>
      <w:r w:rsidRPr="00025EA3">
        <w:t xml:space="preserve">, Marre, D. Lara, F. and Vera, A. (2018). Ethnographing the Mexican-American bordeland: the liminal space of Ciudad Juárez-El Paso. </w:t>
      </w:r>
      <w:r w:rsidR="00647A93" w:rsidRPr="00025EA3">
        <w:t xml:space="preserve">The Association of Social Anthropologists of the UK and Commonwealth’s ASA18 Conference: Sociality, matter, and the imagination: re-creating Anthropology. Oxford: University of Oxford. </w:t>
      </w:r>
    </w:p>
    <w:p w14:paraId="28D8108A" w14:textId="6D7806CD" w:rsidR="00721F42" w:rsidRPr="00025EA3" w:rsidRDefault="00000000" w:rsidP="00647A93">
      <w:hyperlink r:id="rId6" w:history="1">
        <w:r w:rsidR="00647A93" w:rsidRPr="00025EA3">
          <w:rPr>
            <w:rStyle w:val="Hyperlink"/>
          </w:rPr>
          <w:t>https://nomadit.co.uk/conference/asa2018/paper/45955</w:t>
        </w:r>
      </w:hyperlink>
      <w:r w:rsidR="00647A93" w:rsidRPr="00025EA3">
        <w:t xml:space="preserve"> (Accessed 22/3/2024)</w:t>
      </w:r>
    </w:p>
    <w:p w14:paraId="702E163A" w14:textId="77777777" w:rsidR="00C53ED8" w:rsidRPr="00025EA3" w:rsidRDefault="00C53ED8" w:rsidP="00901C28"/>
    <w:p w14:paraId="2AB517CC" w14:textId="77777777" w:rsidR="00C53ED8" w:rsidRPr="00025EA3" w:rsidRDefault="00C53ED8" w:rsidP="00777E47">
      <w:r w:rsidRPr="00025EA3">
        <w:t>Inhorn, M. &amp; Birenbaum</w:t>
      </w:r>
      <w:r w:rsidRPr="00025EA3">
        <w:rPr>
          <w:rFonts w:ascii="Cambria Math" w:hAnsi="Cambria Math" w:cs="Cambria Math"/>
        </w:rPr>
        <w:t>‐</w:t>
      </w:r>
      <w:r w:rsidRPr="00025EA3">
        <w:t xml:space="preserve">Carmeli, D. (2008). Assisted reproductive technologies and culture change. </w:t>
      </w:r>
      <w:r w:rsidRPr="00025EA3">
        <w:rPr>
          <w:i/>
          <w:iCs/>
        </w:rPr>
        <w:t>Annual Review of Anthropology</w:t>
      </w:r>
      <w:r w:rsidRPr="00025EA3">
        <w:t>, 37(1), 177-196.</w:t>
      </w:r>
    </w:p>
    <w:p w14:paraId="2E38E75A" w14:textId="77777777" w:rsidR="00C53ED8" w:rsidRPr="00025EA3" w:rsidRDefault="00C53ED8" w:rsidP="00777E47"/>
    <w:p w14:paraId="005EC12F" w14:textId="77777777" w:rsidR="00C53ED8" w:rsidRPr="00025EA3" w:rsidRDefault="00C53ED8" w:rsidP="00877BF8">
      <w:r w:rsidRPr="00025EA3">
        <w:t xml:space="preserve">Jun, M., Cai, S., &amp; Shin, H. (2005). TQM practice in maquiladora: antecedents of employee satisfaction and loyalty. </w:t>
      </w:r>
      <w:r w:rsidRPr="00025EA3">
        <w:rPr>
          <w:i/>
          <w:iCs/>
        </w:rPr>
        <w:t>Journal of Operations Management</w:t>
      </w:r>
      <w:r w:rsidRPr="00025EA3">
        <w:t>, 24(6), 791-812.</w:t>
      </w:r>
    </w:p>
    <w:p w14:paraId="7F9E39BE" w14:textId="77777777" w:rsidR="00C53ED8" w:rsidRPr="00025EA3" w:rsidRDefault="00C53ED8" w:rsidP="00877BF8"/>
    <w:p w14:paraId="4E25EAE9" w14:textId="77777777" w:rsidR="00C53ED8" w:rsidRPr="00025EA3" w:rsidRDefault="00C53ED8" w:rsidP="00901C28">
      <w:r w:rsidRPr="00025EA3">
        <w:t xml:space="preserve">Kamboj, N., Saraswathy KN., Prasad., S., Babu., N, Puri, M., Sharma, A., Dhingra, S., Sachdeva, M.P. &amp; Mahajan, C. (2023). Women infertility and common mental disorders: A cross-sectional study from North India, </w:t>
      </w:r>
      <w:r w:rsidRPr="00025EA3">
        <w:rPr>
          <w:i/>
          <w:iCs/>
        </w:rPr>
        <w:t>PLoS One</w:t>
      </w:r>
      <w:r w:rsidRPr="00025EA3">
        <w:t>. 5: 18(1).</w:t>
      </w:r>
    </w:p>
    <w:p w14:paraId="2D3B03EC" w14:textId="77777777" w:rsidR="00C53ED8" w:rsidRPr="00025EA3" w:rsidRDefault="00C53ED8" w:rsidP="00901C28"/>
    <w:p w14:paraId="1FB1C763" w14:textId="77777777" w:rsidR="00C53ED8" w:rsidRPr="00025EA3" w:rsidRDefault="00C53ED8" w:rsidP="005C63DF">
      <w:r w:rsidRPr="00025EA3">
        <w:t>Lucas, M. (2014) ‘Nomadic’ organization and the experience of journeying: Through liminal spaces and organizing places, </w:t>
      </w:r>
      <w:r w:rsidRPr="00025EA3">
        <w:rPr>
          <w:i/>
          <w:iCs/>
        </w:rPr>
        <w:t>Culture and Organization</w:t>
      </w:r>
      <w:r w:rsidRPr="00025EA3">
        <w:t>, 20:3, 196-214.</w:t>
      </w:r>
    </w:p>
    <w:p w14:paraId="739CC33F" w14:textId="77777777" w:rsidR="00C53ED8" w:rsidRPr="00025EA3" w:rsidRDefault="00C53ED8" w:rsidP="005C63DF"/>
    <w:p w14:paraId="023AE18F" w14:textId="77777777" w:rsidR="00C53ED8" w:rsidRPr="00025EA3" w:rsidRDefault="00C53ED8" w:rsidP="00777E47">
      <w:r w:rsidRPr="00025EA3">
        <w:t xml:space="preserve">Merleau-Ponty, N., Vertommen, S., &amp; Pucéat, M. (2018). I6 passages: on the reproduction of a human embryonic stem cell line from Israel to France. </w:t>
      </w:r>
      <w:r w:rsidRPr="00025EA3">
        <w:rPr>
          <w:i/>
          <w:iCs/>
        </w:rPr>
        <w:t>New Genetics and Society</w:t>
      </w:r>
      <w:r w:rsidRPr="00025EA3">
        <w:t>, 37(4), 338-361.</w:t>
      </w:r>
    </w:p>
    <w:p w14:paraId="4493BCEA" w14:textId="77777777" w:rsidR="00C53ED8" w:rsidRPr="00025EA3" w:rsidRDefault="00C53ED8" w:rsidP="00777E47"/>
    <w:p w14:paraId="27EBCE18" w14:textId="77777777" w:rsidR="00C53ED8" w:rsidRPr="00025EA3" w:rsidRDefault="00C53ED8" w:rsidP="00777E47">
      <w:r w:rsidRPr="00025EA3">
        <w:t xml:space="preserve">Otamış, P. (2016). Nomadic organization structure and mimetic isomorphism in tourism establishments: focus on small enterprises in Fethiye. </w:t>
      </w:r>
      <w:r w:rsidRPr="00025EA3">
        <w:rPr>
          <w:i/>
          <w:iCs/>
        </w:rPr>
        <w:t>Journal of Human Sciences</w:t>
      </w:r>
      <w:r w:rsidRPr="00025EA3">
        <w:t>, 13(3), 6011.</w:t>
      </w:r>
    </w:p>
    <w:p w14:paraId="46E24B95" w14:textId="77777777" w:rsidR="00C53ED8" w:rsidRPr="00025EA3" w:rsidRDefault="00C53ED8" w:rsidP="00777E47"/>
    <w:p w14:paraId="1C4E2978" w14:textId="77777777" w:rsidR="00C53ED8" w:rsidRPr="00025EA3" w:rsidRDefault="00C53ED8" w:rsidP="00901C28">
      <w:r w:rsidRPr="00025EA3">
        <w:t xml:space="preserve">Rienzi, L., Cimadomo, D., Vaiarelli, A., Gennarelli, G., Holte, J., Livi, C., Aura Masip, M., Uher, P., Fabozzi, G. &amp; Ubaldi, FM. (2021). Measuring success in IVF is a complex multidisciplinary task: time for a consensus? </w:t>
      </w:r>
      <w:r w:rsidRPr="00025EA3">
        <w:rPr>
          <w:i/>
          <w:iCs/>
        </w:rPr>
        <w:t>Reproductive Biomedicine Online</w:t>
      </w:r>
      <w:r w:rsidRPr="00025EA3">
        <w:t xml:space="preserve">. 43(5): 775-778. </w:t>
      </w:r>
      <w:hyperlink r:id="rId7" w:history="1">
        <w:r w:rsidRPr="00025EA3">
          <w:rPr>
            <w:rStyle w:val="Hyperlink"/>
          </w:rPr>
          <w:t>https://pubmed.ncbi.nlm.nih.gov/34493463/</w:t>
        </w:r>
      </w:hyperlink>
      <w:r w:rsidRPr="00025EA3">
        <w:t xml:space="preserve"> (Accessed 22/3/2024).</w:t>
      </w:r>
    </w:p>
    <w:p w14:paraId="5B4653B3" w14:textId="77777777" w:rsidR="00C53ED8" w:rsidRPr="00025EA3" w:rsidRDefault="00C53ED8" w:rsidP="00901C28"/>
    <w:p w14:paraId="7D99944A" w14:textId="77777777" w:rsidR="00C53ED8" w:rsidRPr="00025EA3" w:rsidRDefault="00C53ED8" w:rsidP="005C63DF">
      <w:r w:rsidRPr="00025EA3">
        <w:t xml:space="preserve">Shaheen, A., 2011. Living on the Margins: A Socio-historical Profile of the Nomads in Pakistan, </w:t>
      </w:r>
      <w:r w:rsidRPr="00025EA3">
        <w:rPr>
          <w:i/>
          <w:iCs/>
        </w:rPr>
        <w:t>Pakistan Perspectives</w:t>
      </w:r>
      <w:r w:rsidRPr="00025EA3">
        <w:t>, 16(1), pp. 41-75.</w:t>
      </w:r>
    </w:p>
    <w:p w14:paraId="5FB770A5" w14:textId="77777777" w:rsidR="00C53ED8" w:rsidRPr="00025EA3" w:rsidRDefault="00C53ED8" w:rsidP="005C63DF"/>
    <w:p w14:paraId="07DAE7D4" w14:textId="77777777" w:rsidR="00C53ED8" w:rsidRPr="00025EA3" w:rsidRDefault="00C53ED8" w:rsidP="00777E47">
      <w:r w:rsidRPr="00025EA3">
        <w:t xml:space="preserve">Suksom, P. and Sangkhamanee, J. (2022). Maternal techno-space: assisted reproductive technology (art) and the ontological construction of motherhood in Thailand, </w:t>
      </w:r>
      <w:r w:rsidRPr="00025EA3">
        <w:rPr>
          <w:i/>
          <w:iCs/>
        </w:rPr>
        <w:t>Kasetsart Journal of Social Sciences</w:t>
      </w:r>
      <w:r w:rsidRPr="00025EA3">
        <w:t>, 43(3).</w:t>
      </w:r>
    </w:p>
    <w:p w14:paraId="330082CF" w14:textId="77777777" w:rsidR="00C53ED8" w:rsidRPr="00025EA3" w:rsidRDefault="00C53ED8" w:rsidP="00777E47"/>
    <w:p w14:paraId="73FC56C0" w14:textId="77777777" w:rsidR="00C53ED8" w:rsidRPr="00025EA3" w:rsidRDefault="00C53ED8" w:rsidP="00901C28">
      <w:r w:rsidRPr="00025EA3">
        <w:lastRenderedPageBreak/>
        <w:t xml:space="preserve">Vuniqi-Krasniqi, M., Paçarada, M., Daka, Q., Dervishi, Z., Bimbashi, A., &amp; Dakaj, K. (2018). Hypertensive disorders of in-vitro fertilization pregnancies: a study from Kosovo, </w:t>
      </w:r>
      <w:r w:rsidRPr="00025EA3">
        <w:rPr>
          <w:i/>
          <w:iCs/>
        </w:rPr>
        <w:t>International Journal of Reproductive Biomedicine</w:t>
      </w:r>
      <w:r w:rsidRPr="00025EA3">
        <w:t>, 16(2), 77-82.</w:t>
      </w:r>
    </w:p>
    <w:p w14:paraId="6461BE5B" w14:textId="77777777" w:rsidR="00C53ED8" w:rsidRPr="00025EA3" w:rsidRDefault="00C53ED8" w:rsidP="00901C28"/>
    <w:p w14:paraId="3299006F" w14:textId="77777777" w:rsidR="00C53ED8" w:rsidRPr="00025EA3" w:rsidRDefault="00C53ED8" w:rsidP="00877BF8">
      <w:r w:rsidRPr="00025EA3">
        <w:t xml:space="preserve">Walker, M. (2005). Guada-narco-lupe, maquilarañas and the discursive construction of gender and difference on the us–mexico border in mexican media re-presentations. </w:t>
      </w:r>
      <w:r w:rsidRPr="00025EA3">
        <w:rPr>
          <w:i/>
          <w:iCs/>
        </w:rPr>
        <w:t>Gender Place &amp; Culture</w:t>
      </w:r>
      <w:r w:rsidRPr="00025EA3">
        <w:t>, 12(1), 95-111.</w:t>
      </w:r>
    </w:p>
    <w:p w14:paraId="23CC4315" w14:textId="77777777" w:rsidR="00C53ED8" w:rsidRPr="00025EA3" w:rsidRDefault="00C53ED8" w:rsidP="00877BF8"/>
    <w:p w14:paraId="32B25F64" w14:textId="77777777" w:rsidR="00C53ED8" w:rsidRPr="00025EA3" w:rsidRDefault="00C53ED8" w:rsidP="00877BF8">
      <w:r w:rsidRPr="00025EA3">
        <w:t>Wiel, L. (2019). The datafication of reproduction: time</w:t>
      </w:r>
      <w:r w:rsidRPr="00025EA3">
        <w:rPr>
          <w:rFonts w:ascii="Cambria Math" w:hAnsi="Cambria Math" w:cs="Cambria Math"/>
        </w:rPr>
        <w:t>‐</w:t>
      </w:r>
      <w:r w:rsidRPr="00025EA3">
        <w:t>lapse embryo imaging and the commercialisation of IVF. Sociology of Health &amp; Illness, 41(S1), 193-209.</w:t>
      </w:r>
    </w:p>
    <w:p w14:paraId="33F0DEAA" w14:textId="77777777" w:rsidR="00C53ED8" w:rsidRPr="00025EA3" w:rsidRDefault="00C53ED8" w:rsidP="00877BF8"/>
    <w:p w14:paraId="00025A98" w14:textId="77777777" w:rsidR="00C53ED8" w:rsidRPr="00025EA3" w:rsidRDefault="00C53ED8" w:rsidP="00877BF8">
      <w:r w:rsidRPr="00025EA3">
        <w:t xml:space="preserve">Wright, M. (2001). A manifesto against femicide. </w:t>
      </w:r>
      <w:r w:rsidRPr="00025EA3">
        <w:rPr>
          <w:i/>
          <w:iCs/>
        </w:rPr>
        <w:t>Antipode</w:t>
      </w:r>
      <w:r w:rsidRPr="00025EA3">
        <w:t>, 33(3), 550-566.</w:t>
      </w:r>
    </w:p>
    <w:p w14:paraId="66FBAD87" w14:textId="77777777" w:rsidR="00C53ED8" w:rsidRPr="00025EA3" w:rsidRDefault="00C53ED8" w:rsidP="00877BF8"/>
    <w:p w14:paraId="755A35D5" w14:textId="77777777" w:rsidR="00C53ED8" w:rsidRPr="00025EA3" w:rsidRDefault="00C53ED8" w:rsidP="00901C28">
      <w:r w:rsidRPr="00025EA3">
        <w:t xml:space="preserve">Ying, L., Wu, L., &amp; Loke, A. (2015). The experience of Chinese couples undergoing in vitro fertilization treatment: perception of the treatment process and partner support, </w:t>
      </w:r>
      <w:r w:rsidRPr="00025EA3">
        <w:rPr>
          <w:i/>
          <w:iCs/>
        </w:rPr>
        <w:t>Plos One</w:t>
      </w:r>
      <w:r w:rsidRPr="00025EA3">
        <w:t>, 10(10).</w:t>
      </w:r>
    </w:p>
    <w:p w14:paraId="1ECEEE22" w14:textId="77777777" w:rsidR="00C53ED8" w:rsidRPr="00025EA3" w:rsidRDefault="00C53ED8" w:rsidP="00901C28"/>
    <w:p w14:paraId="20D02A90" w14:textId="195DC430" w:rsidR="00C53ED8" w:rsidRPr="00025EA3" w:rsidRDefault="00C53ED8" w:rsidP="0004039D">
      <w:r w:rsidRPr="00025EA3">
        <w:t xml:space="preserve">Zaake, D., Kayiira, A. &amp; Namagembe, I. (2019). Perceptions, expectations and challenges among men during in vitro fertilization treatment in a low resource setting: a qualitative study. </w:t>
      </w:r>
      <w:r w:rsidRPr="00025EA3">
        <w:rPr>
          <w:i/>
          <w:iCs/>
        </w:rPr>
        <w:t>Fertility Research and Practice,</w:t>
      </w:r>
      <w:r w:rsidRPr="00025EA3">
        <w:t xml:space="preserve"> 5, 6. </w:t>
      </w:r>
      <w:hyperlink r:id="rId8" w:history="1">
        <w:r w:rsidRPr="00025EA3">
          <w:rPr>
            <w:rStyle w:val="Hyperlink"/>
          </w:rPr>
          <w:t>https://doi.org/10.1186/s40738-019-0058-8</w:t>
        </w:r>
      </w:hyperlink>
      <w:r w:rsidR="00F31D48" w:rsidRPr="00025EA3">
        <w:t xml:space="preserve"> (A</w:t>
      </w:r>
      <w:r w:rsidRPr="00025EA3">
        <w:t>cessed 22/3/2024</w:t>
      </w:r>
      <w:r w:rsidR="00F31D48" w:rsidRPr="00025EA3">
        <w:t>)</w:t>
      </w:r>
      <w:r w:rsidRPr="00025EA3">
        <w:t>.</w:t>
      </w:r>
    </w:p>
    <w:sectPr w:rsidR="00C53ED8" w:rsidRPr="00025EA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AB3096" w14:textId="77777777" w:rsidR="00FF0BE0" w:rsidRDefault="00FF0BE0" w:rsidP="009E1E2A">
      <w:r>
        <w:separator/>
      </w:r>
    </w:p>
  </w:endnote>
  <w:endnote w:type="continuationSeparator" w:id="0">
    <w:p w14:paraId="1C152706" w14:textId="77777777" w:rsidR="00FF0BE0" w:rsidRDefault="00FF0BE0" w:rsidP="009E1E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916CE8" w14:textId="77777777" w:rsidR="00FF0BE0" w:rsidRDefault="00FF0BE0" w:rsidP="009E1E2A">
      <w:r>
        <w:separator/>
      </w:r>
    </w:p>
  </w:footnote>
  <w:footnote w:type="continuationSeparator" w:id="0">
    <w:p w14:paraId="68146DE7" w14:textId="77777777" w:rsidR="00FF0BE0" w:rsidRDefault="00FF0BE0" w:rsidP="009E1E2A">
      <w:r>
        <w:continuationSeparator/>
      </w:r>
    </w:p>
  </w:footnote>
  <w:footnote w:id="1">
    <w:p w14:paraId="62DAC603" w14:textId="1EE15711" w:rsidR="009E1E2A" w:rsidRPr="00C53ED8" w:rsidRDefault="009E1E2A">
      <w:pPr>
        <w:pStyle w:val="FootnoteText"/>
      </w:pPr>
      <w:r w:rsidRPr="00C53ED8">
        <w:rPr>
          <w:rStyle w:val="FootnoteReference"/>
        </w:rPr>
        <w:footnoteRef/>
      </w:r>
      <w:r w:rsidRPr="00C53ED8">
        <w:t xml:space="preserve"> This </w:t>
      </w:r>
      <w:r w:rsidR="00C53ED8" w:rsidRPr="00C53ED8">
        <w:t>research</w:t>
      </w:r>
      <w:r w:rsidRPr="00C53ED8">
        <w:t xml:space="preserve"> was supported by the Spanish Ministry of Science and Innovation under Grant PID2020-112692RB-C21 / AEI / 10.13039/501100011033</w:t>
      </w:r>
      <w:r w:rsidR="00C53ED8" w:rsidRPr="00C53ED8">
        <w:t xml:space="preserve"> and the British Council-Newton Fund Impact scheme Grant 537699499</w:t>
      </w:r>
      <w:r w:rsidR="00C53ED8">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9"/>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1C28"/>
    <w:rsid w:val="000154F8"/>
    <w:rsid w:val="00025EA3"/>
    <w:rsid w:val="0004039D"/>
    <w:rsid w:val="000E635F"/>
    <w:rsid w:val="000E678C"/>
    <w:rsid w:val="000F7905"/>
    <w:rsid w:val="00127E46"/>
    <w:rsid w:val="001932E4"/>
    <w:rsid w:val="00233A30"/>
    <w:rsid w:val="0027743D"/>
    <w:rsid w:val="002B466C"/>
    <w:rsid w:val="002F4AE8"/>
    <w:rsid w:val="00392D40"/>
    <w:rsid w:val="003C2D60"/>
    <w:rsid w:val="003D2903"/>
    <w:rsid w:val="003D6B39"/>
    <w:rsid w:val="003F0022"/>
    <w:rsid w:val="004351D5"/>
    <w:rsid w:val="005C63DF"/>
    <w:rsid w:val="005E4346"/>
    <w:rsid w:val="006026AE"/>
    <w:rsid w:val="00614422"/>
    <w:rsid w:val="00647A93"/>
    <w:rsid w:val="0068020D"/>
    <w:rsid w:val="006971C0"/>
    <w:rsid w:val="006A0510"/>
    <w:rsid w:val="00721F42"/>
    <w:rsid w:val="007703A3"/>
    <w:rsid w:val="00777E47"/>
    <w:rsid w:val="00877BF8"/>
    <w:rsid w:val="0088265F"/>
    <w:rsid w:val="00896BA9"/>
    <w:rsid w:val="008A467C"/>
    <w:rsid w:val="00901C28"/>
    <w:rsid w:val="009E1E2A"/>
    <w:rsid w:val="00AA64F8"/>
    <w:rsid w:val="00AB14A3"/>
    <w:rsid w:val="00B10BAB"/>
    <w:rsid w:val="00C4415A"/>
    <w:rsid w:val="00C53ED8"/>
    <w:rsid w:val="00CC59B6"/>
    <w:rsid w:val="00CE786C"/>
    <w:rsid w:val="00D04829"/>
    <w:rsid w:val="00D149A3"/>
    <w:rsid w:val="00DF6C36"/>
    <w:rsid w:val="00E03F5D"/>
    <w:rsid w:val="00F31D48"/>
    <w:rsid w:val="00F94635"/>
    <w:rsid w:val="00FE29C2"/>
    <w:rsid w:val="00FF0B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E760C5F"/>
  <w15:chartTrackingRefBased/>
  <w15:docId w15:val="{28E77F8F-09A4-AF4C-9184-42064A4BC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01C2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01C2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01C2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01C2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01C2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01C28"/>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01C28"/>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01C28"/>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01C28"/>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1C2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01C2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01C2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01C2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01C2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01C2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01C2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01C2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01C28"/>
    <w:rPr>
      <w:rFonts w:eastAsiaTheme="majorEastAsia" w:cstheme="majorBidi"/>
      <w:color w:val="272727" w:themeColor="text1" w:themeTint="D8"/>
    </w:rPr>
  </w:style>
  <w:style w:type="paragraph" w:styleId="Title">
    <w:name w:val="Title"/>
    <w:basedOn w:val="Normal"/>
    <w:next w:val="Normal"/>
    <w:link w:val="TitleChar"/>
    <w:uiPriority w:val="10"/>
    <w:qFormat/>
    <w:rsid w:val="00901C2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01C2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01C28"/>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01C2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01C28"/>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901C28"/>
    <w:rPr>
      <w:i/>
      <w:iCs/>
      <w:color w:val="404040" w:themeColor="text1" w:themeTint="BF"/>
    </w:rPr>
  </w:style>
  <w:style w:type="paragraph" w:styleId="ListParagraph">
    <w:name w:val="List Paragraph"/>
    <w:basedOn w:val="Normal"/>
    <w:uiPriority w:val="34"/>
    <w:qFormat/>
    <w:rsid w:val="00901C28"/>
    <w:pPr>
      <w:ind w:left="720"/>
      <w:contextualSpacing/>
    </w:pPr>
  </w:style>
  <w:style w:type="character" w:styleId="IntenseEmphasis">
    <w:name w:val="Intense Emphasis"/>
    <w:basedOn w:val="DefaultParagraphFont"/>
    <w:uiPriority w:val="21"/>
    <w:qFormat/>
    <w:rsid w:val="00901C28"/>
    <w:rPr>
      <w:i/>
      <w:iCs/>
      <w:color w:val="0F4761" w:themeColor="accent1" w:themeShade="BF"/>
    </w:rPr>
  </w:style>
  <w:style w:type="paragraph" w:styleId="IntenseQuote">
    <w:name w:val="Intense Quote"/>
    <w:basedOn w:val="Normal"/>
    <w:next w:val="Normal"/>
    <w:link w:val="IntenseQuoteChar"/>
    <w:uiPriority w:val="30"/>
    <w:qFormat/>
    <w:rsid w:val="00901C2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01C28"/>
    <w:rPr>
      <w:i/>
      <w:iCs/>
      <w:color w:val="0F4761" w:themeColor="accent1" w:themeShade="BF"/>
    </w:rPr>
  </w:style>
  <w:style w:type="character" w:styleId="IntenseReference">
    <w:name w:val="Intense Reference"/>
    <w:basedOn w:val="DefaultParagraphFont"/>
    <w:uiPriority w:val="32"/>
    <w:qFormat/>
    <w:rsid w:val="00901C28"/>
    <w:rPr>
      <w:b/>
      <w:bCs/>
      <w:smallCaps/>
      <w:color w:val="0F4761" w:themeColor="accent1" w:themeShade="BF"/>
      <w:spacing w:val="5"/>
    </w:rPr>
  </w:style>
  <w:style w:type="character" w:styleId="Hyperlink">
    <w:name w:val="Hyperlink"/>
    <w:basedOn w:val="DefaultParagraphFont"/>
    <w:uiPriority w:val="99"/>
    <w:unhideWhenUsed/>
    <w:rsid w:val="00877BF8"/>
    <w:rPr>
      <w:color w:val="467886" w:themeColor="hyperlink"/>
      <w:u w:val="single"/>
    </w:rPr>
  </w:style>
  <w:style w:type="character" w:styleId="UnresolvedMention">
    <w:name w:val="Unresolved Mention"/>
    <w:basedOn w:val="DefaultParagraphFont"/>
    <w:uiPriority w:val="99"/>
    <w:semiHidden/>
    <w:unhideWhenUsed/>
    <w:rsid w:val="00877BF8"/>
    <w:rPr>
      <w:color w:val="605E5C"/>
      <w:shd w:val="clear" w:color="auto" w:fill="E1DFDD"/>
    </w:rPr>
  </w:style>
  <w:style w:type="paragraph" w:styleId="FootnoteText">
    <w:name w:val="footnote text"/>
    <w:basedOn w:val="Normal"/>
    <w:link w:val="FootnoteTextChar"/>
    <w:uiPriority w:val="99"/>
    <w:semiHidden/>
    <w:unhideWhenUsed/>
    <w:rsid w:val="009E1E2A"/>
    <w:rPr>
      <w:sz w:val="20"/>
      <w:szCs w:val="20"/>
    </w:rPr>
  </w:style>
  <w:style w:type="character" w:customStyle="1" w:styleId="FootnoteTextChar">
    <w:name w:val="Footnote Text Char"/>
    <w:basedOn w:val="DefaultParagraphFont"/>
    <w:link w:val="FootnoteText"/>
    <w:uiPriority w:val="99"/>
    <w:semiHidden/>
    <w:rsid w:val="009E1E2A"/>
    <w:rPr>
      <w:sz w:val="20"/>
      <w:szCs w:val="20"/>
    </w:rPr>
  </w:style>
  <w:style w:type="character" w:styleId="FootnoteReference">
    <w:name w:val="footnote reference"/>
    <w:basedOn w:val="DefaultParagraphFont"/>
    <w:uiPriority w:val="99"/>
    <w:semiHidden/>
    <w:unhideWhenUsed/>
    <w:rsid w:val="009E1E2A"/>
    <w:rPr>
      <w:vertAlign w:val="superscript"/>
    </w:rPr>
  </w:style>
  <w:style w:type="character" w:styleId="FollowedHyperlink">
    <w:name w:val="FollowedHyperlink"/>
    <w:basedOn w:val="DefaultParagraphFont"/>
    <w:uiPriority w:val="99"/>
    <w:semiHidden/>
    <w:unhideWhenUsed/>
    <w:rsid w:val="00AB14A3"/>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2673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86/s40738-019-0058-8" TargetMode="External"/><Relationship Id="rId3" Type="http://schemas.openxmlformats.org/officeDocument/2006/relationships/webSettings" Target="webSettings.xml"/><Relationship Id="rId7" Type="http://schemas.openxmlformats.org/officeDocument/2006/relationships/hyperlink" Target="https://pubmed.ncbi.nlm.nih.gov/34493463/"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nomadit.co.uk/conference/asa2018/paper/45955"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1957</Words>
  <Characters>11158</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Gaggiotti</dc:creator>
  <cp:keywords/>
  <dc:description/>
  <cp:lastModifiedBy>Hugo Gaggiotti</cp:lastModifiedBy>
  <cp:revision>2</cp:revision>
  <dcterms:created xsi:type="dcterms:W3CDTF">2024-03-24T07:36:00Z</dcterms:created>
  <dcterms:modified xsi:type="dcterms:W3CDTF">2024-03-24T07:36:00Z</dcterms:modified>
</cp:coreProperties>
</file>